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685"/>
        <w:gridCol w:w="991"/>
        <w:gridCol w:w="277"/>
        <w:gridCol w:w="280"/>
        <w:gridCol w:w="416"/>
        <w:gridCol w:w="141"/>
        <w:gridCol w:w="695"/>
        <w:gridCol w:w="699"/>
      </w:tblGrid>
      <w:tr w:rsidR="00BF23C5" w:rsidTr="00821ED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821ED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821ED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821ED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821EDB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821ED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401909" w:rsidRDefault="006532D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 w:hint="eastAsia"/>
                <w:kern w:val="0"/>
                <w:sz w:val="18"/>
                <w:szCs w:val="18"/>
              </w:rPr>
              <w:t>国家临床重点专科建设（国家医学中心）</w:t>
            </w:r>
          </w:p>
        </w:tc>
      </w:tr>
      <w:tr w:rsidR="00401909" w:rsidRPr="00401909" w:rsidTr="00650D4C">
        <w:trPr>
          <w:trHeight w:hRule="exact" w:val="50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6532DE" w:rsidP="0040190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1909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</w:t>
            </w:r>
            <w:r w:rsidRPr="00401909">
              <w:rPr>
                <w:rFonts w:ascii="宋体" w:hAnsi="宋体" w:cs="宋体"/>
                <w:kern w:val="0"/>
                <w:sz w:val="18"/>
                <w:szCs w:val="18"/>
              </w:rPr>
              <w:t>附属北京</w:t>
            </w:r>
            <w:r w:rsidRPr="00401909">
              <w:rPr>
                <w:rFonts w:ascii="宋体" w:hAnsi="宋体" w:cs="宋体" w:hint="eastAsia"/>
                <w:kern w:val="0"/>
                <w:sz w:val="18"/>
                <w:szCs w:val="18"/>
              </w:rPr>
              <w:t>儿童</w:t>
            </w:r>
            <w:r w:rsidRPr="00401909">
              <w:rPr>
                <w:rFonts w:ascii="宋体" w:hAnsi="宋体" w:cs="宋体"/>
                <w:kern w:val="0"/>
                <w:sz w:val="18"/>
                <w:szCs w:val="18"/>
              </w:rPr>
              <w:t>医院</w:t>
            </w:r>
          </w:p>
        </w:tc>
      </w:tr>
      <w:tr w:rsidR="00401909" w:rsidRPr="00401909" w:rsidTr="00650D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倪鑫、</w:t>
            </w:r>
            <w:r w:rsidR="00E94AC7">
              <w:rPr>
                <w:rFonts w:ascii="宋体" w:hAnsi="宋体" w:cs="宋体" w:hint="eastAsia"/>
                <w:kern w:val="0"/>
                <w:sz w:val="18"/>
                <w:szCs w:val="18"/>
              </w:rPr>
              <w:t>王天有</w:t>
            </w:r>
            <w:bookmarkStart w:id="0" w:name="_GoBack"/>
            <w:bookmarkEnd w:id="0"/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59616157</w:t>
            </w:r>
          </w:p>
        </w:tc>
      </w:tr>
      <w:tr w:rsidR="00401909" w:rsidTr="00650D4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09" w:rsidRDefault="0040190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C21B9" w:rsidTr="009128E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6532DE" w:rsidP="00AC2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Pr="006532DE" w:rsidRDefault="006532DE" w:rsidP="00653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Pr="006532DE" w:rsidRDefault="006532DE" w:rsidP="00653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0.52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6532D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0.05%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21B9" w:rsidTr="0069522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Default="006532DE" w:rsidP="006532DE">
            <w:pPr>
              <w:widowControl/>
              <w:spacing w:line="240" w:lineRule="exact"/>
              <w:jc w:val="center"/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Pr="006532DE" w:rsidRDefault="006532DE" w:rsidP="00653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Pr="006532DE" w:rsidRDefault="006532DE" w:rsidP="00653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0.52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6532D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32DE">
              <w:rPr>
                <w:rFonts w:ascii="宋体" w:hAnsi="宋体" w:cs="宋体"/>
                <w:kern w:val="0"/>
                <w:sz w:val="18"/>
                <w:szCs w:val="18"/>
              </w:rPr>
              <w:t>0.05%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C21B9" w:rsidTr="00126DA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Default="00AC21B9"/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1B9" w:rsidRDefault="00AC21B9"/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1B9" w:rsidRDefault="00AC21B9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1EDB" w:rsidTr="00650D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1EDB" w:rsidTr="005F3F0D">
        <w:trPr>
          <w:trHeight w:hRule="exact" w:val="6110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21EDB" w:rsidTr="005F3F0D">
        <w:trPr>
          <w:trHeight w:hRule="exact" w:val="809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Pr="00650D4C" w:rsidRDefault="00821EDB" w:rsidP="00650D4C">
            <w:pPr>
              <w:snapToGrid w:val="0"/>
              <w:ind w:firstLineChars="200" w:firstLine="36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血液</w:t>
            </w:r>
            <w:proofErr w:type="gramStart"/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科（白血病专业）：牵头建立全国多中心治疗协作组，优化并推进CCLG-ALL 2018、CCLG-AML 2019方案和CCLG-APL 2021方案。</w:t>
            </w:r>
          </w:p>
          <w:p w:rsidR="00821EDB" w:rsidRPr="00650D4C" w:rsidRDefault="00821EDB" w:rsidP="00650D4C">
            <w:pPr>
              <w:snapToGrid w:val="0"/>
              <w:ind w:firstLineChars="200" w:firstLine="36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血液二科（组织细胞病、骨髓衰竭性疾病、出凝血功能障碍性疾病专业）：启动儿童LCH、HLH、CAEBV前瞻性临床试验；开展儿童LCH、HLH、CAEBV病理机制、遗传突变研究及多组学研究。规范儿童骨髓衰竭疾病的实验室检测、设计建立儿童骨髓衰竭疾病的网络化数据信息管理系统，进行病例资料登记、管理、统计分析、监控等工作。确立全国多中心合作项目并开展行之有效的儿童血友病、ITP临床治疗及研究协作，开展儿童血友病伴高滴度抑制物ITI策略、儿童血友病个体化预防治疗及儿童ITP升阶梯二线治疗方案探索；开展罕见病联盟血友病组三级诊疗体系建立，建立实验平台。</w:t>
            </w:r>
          </w:p>
          <w:p w:rsidR="00821EDB" w:rsidRDefault="00821EDB" w:rsidP="00650D4C">
            <w:pPr>
              <w:snapToGrid w:val="0"/>
              <w:ind w:firstLineChars="200" w:firstLine="36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干细胞移植（干细胞移植专业）：启动PT-Cy移植的临床研究；继续开展大理石骨病，</w:t>
            </w:r>
            <w:proofErr w:type="gramStart"/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幼年型粒单核细胞</w:t>
            </w:r>
            <w:proofErr w:type="gramEnd"/>
            <w:r w:rsidRPr="00650D4C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白血病等的全国多种心临床研究。</w:t>
            </w:r>
          </w:p>
          <w:p w:rsidR="00206AC6" w:rsidRPr="007B6FD9" w:rsidRDefault="00206AC6" w:rsidP="00650D4C">
            <w:pPr>
              <w:snapToGrid w:val="0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依托国家儿童医学中心平台，在全国儿科领域，围绕儿童肿瘤疾病疑难危重症诊断与治疗、科研创新与临床研究转化、高层次医学人才培养、儿童肿瘤主要疾病登记监测、辐射提升基层儿科发展水平等方面，发挥示范和引领作用。</w:t>
            </w:r>
          </w:p>
        </w:tc>
        <w:tc>
          <w:tcPr>
            <w:tcW w:w="34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Pr="007B6FD9" w:rsidRDefault="00821EDB" w:rsidP="007B6FD9">
            <w:pPr>
              <w:snapToGrid w:val="0"/>
              <w:ind w:firstLineChars="200" w:firstLine="36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血液</w:t>
            </w:r>
            <w:proofErr w:type="gramStart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一</w:t>
            </w:r>
            <w:proofErr w:type="gramEnd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科（白血病专业）：按计划继续牵头实施全国多中心治疗协作组，目前CCLG-ALL 2018方案已入组病例1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000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余例，CCLG-AML 2019方案入组病例5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00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余例，CCLG-APL 2021方案入组1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00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余例。</w:t>
            </w:r>
          </w:p>
          <w:p w:rsidR="00821EDB" w:rsidRPr="007B6FD9" w:rsidRDefault="00821EDB" w:rsidP="007B6FD9">
            <w:pPr>
              <w:snapToGrid w:val="0"/>
              <w:ind w:firstLineChars="200" w:firstLine="36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血液二科（组织细胞病、骨髓衰竭性疾病、出凝血功能障碍性疾病专业）：组织细胞病专业组2021年2021年初，组织细胞病研究组已启动儿童LCH、HLH、CAEBV前瞻性临床试验；目前已完成230例LCH、HLH、CAEBV患儿基因组测序。骨髓衰竭与增殖性疾病组：2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02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1年新增确诊慢粒7人；新增血小板增多症12人；溶血性贫血32例，贫血待查16例，缺铁性贫血9例，</w:t>
            </w:r>
            <w:proofErr w:type="gramStart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巨幼贫</w:t>
            </w:r>
            <w:proofErr w:type="gramEnd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2例，范可尼贫血1例，MDS 6例，JMML8例，M7 1例。2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02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1年，收治全血细胞减少患者1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70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余例，其中确诊再生障碍性贫血1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30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例左右，应用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ATG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治疗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45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例。2021年发表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SCI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4篇，中文核心期刊论文3篇。出凝血专业组：2021年收治免疫性血小板减少症400余例，截止2021年底我院血友病病例登记体系已</w:t>
            </w:r>
            <w:r w:rsidRPr="007B6FD9">
              <w:rPr>
                <w:rFonts w:ascii="宋体" w:hAnsi="宋体" w:cs="仿宋_GB2312"/>
                <w:color w:val="000000"/>
                <w:sz w:val="18"/>
                <w:szCs w:val="18"/>
              </w:rPr>
              <w:t>完成</w:t>
            </w: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1800余例儿童血友病临床数据整理，其中长期在血友病门诊随访的患儿1000余例；新增获批课题2项，2021年9月至今发表SCI文章8篇，中文核心期刊文章7篇。</w:t>
            </w:r>
          </w:p>
          <w:p w:rsidR="00821EDB" w:rsidRDefault="00821EDB" w:rsidP="007B6FD9">
            <w:pPr>
              <w:widowControl/>
              <w:snapToGrid w:val="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干细胞</w:t>
            </w:r>
            <w:proofErr w:type="gramStart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移植科</w:t>
            </w:r>
            <w:proofErr w:type="gramEnd"/>
            <w:r w:rsidRPr="007B6FD9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2021年度住院病人收治人数较去年同期升高22.15%。发表及接收论文10篇，其中SCI文章7篇。获批课题1项。牵头多中心研究1项。</w:t>
            </w:r>
          </w:p>
          <w:p w:rsidR="00206AC6" w:rsidRPr="007B6FD9" w:rsidRDefault="00206AC6" w:rsidP="007B6FD9">
            <w:pPr>
              <w:widowControl/>
              <w:snapToGrid w:val="0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在儿童肿瘤疾病疑难危重症诊治、科研与临床研究、人才培养、儿童肿瘤登记监测、辐射提升基层儿科发展水平等方面，发挥了国家儿童医学中心示范和引领作用。</w:t>
            </w:r>
          </w:p>
        </w:tc>
      </w:tr>
      <w:tr w:rsidR="00F652FE" w:rsidTr="00650D4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Pr="007B6FD9" w:rsidRDefault="00F652FE" w:rsidP="007B6FD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B6FD9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652FE" w:rsidRPr="007B6FD9" w:rsidRDefault="00F652FE" w:rsidP="007B6FD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B6FD9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2FE" w:rsidRDefault="00F652FE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6419A" w:rsidTr="00E44FC4">
        <w:trPr>
          <w:trHeight w:hRule="exact" w:val="10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医疗服务收入（不含药品、耗材、检查、化验收入）占公立医院医疗收入的比例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≥上年值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&lt;上年值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B036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由于疫情防控对床位使用率的限制，目标值略低于上年值</w:t>
            </w:r>
          </w:p>
        </w:tc>
      </w:tr>
      <w:tr w:rsidR="00F6419A" w:rsidTr="00E44FC4">
        <w:trPr>
          <w:trHeight w:hRule="exact" w:val="35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信息化平台（系统）建设（</w:t>
            </w:r>
            <w:proofErr w:type="gramStart"/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proofErr w:type="gramEnd"/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建设</w:t>
            </w:r>
            <w:r w:rsidRPr="00B03621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个信息化平台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Pr="00B03621" w:rsidRDefault="00F6419A" w:rsidP="00B03621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正在建设1个信息化平台，即儿童肿瘤监测平台（</w:t>
            </w:r>
            <w:proofErr w:type="gramStart"/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含儿童</w:t>
            </w:r>
            <w:proofErr w:type="gramEnd"/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血液病主要疾病）。建立血友病随访APP；</w:t>
            </w:r>
            <w:r w:rsidRPr="00B03621">
              <w:rPr>
                <w:rFonts w:ascii="宋体" w:hAnsi="宋体" w:cs="宋体"/>
                <w:kern w:val="0"/>
                <w:sz w:val="18"/>
                <w:szCs w:val="18"/>
              </w:rPr>
              <w:t>新建立</w:t>
            </w:r>
            <w:r w:rsidRPr="00B03621">
              <w:rPr>
                <w:rFonts w:ascii="宋体" w:hAnsi="宋体" w:cs="宋体" w:hint="eastAsia"/>
                <w:kern w:val="0"/>
                <w:sz w:val="18"/>
                <w:szCs w:val="18"/>
              </w:rPr>
              <w:t>CAEBV数据库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9A" w:rsidRDefault="00F6419A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获批国家级及省部级课题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rPr>
                <w:rFonts w:ascii="宋体" w:hAnsi="宋体" w:cs="仿宋_GB2312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仿宋_GB2312" w:hint="eastAsia"/>
                <w:kern w:val="0"/>
                <w:sz w:val="18"/>
                <w:szCs w:val="18"/>
              </w:rPr>
              <w:t>≥3项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rPr>
                <w:rFonts w:ascii="宋体" w:hAnsi="宋体" w:cs="仿宋_GB2312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仿宋_GB2312" w:hint="eastAsia"/>
                <w:kern w:val="0"/>
                <w:sz w:val="18"/>
                <w:szCs w:val="18"/>
              </w:rPr>
              <w:t>获</w:t>
            </w:r>
            <w:proofErr w:type="gramStart"/>
            <w:r w:rsidRPr="00B03621">
              <w:rPr>
                <w:rFonts w:ascii="宋体" w:hAnsi="宋体" w:cs="仿宋_GB2312" w:hint="eastAsia"/>
                <w:kern w:val="0"/>
                <w:sz w:val="18"/>
                <w:szCs w:val="18"/>
              </w:rPr>
              <w:t>批国家</w:t>
            </w:r>
            <w:proofErr w:type="gramEnd"/>
            <w:r w:rsidRPr="00B03621">
              <w:rPr>
                <w:rFonts w:ascii="宋体" w:hAnsi="宋体" w:cs="仿宋_GB2312" w:hint="eastAsia"/>
                <w:kern w:val="0"/>
                <w:sz w:val="18"/>
                <w:szCs w:val="18"/>
              </w:rPr>
              <w:t>自然科学基金面上项目2项、省部级课题2项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821EDB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发表在国家级及以上期刊论文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25篇/年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821EDB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26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人才梯队建设：职称晋升；硕士、博士研究生培养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≥1人</w:t>
            </w:r>
          </w:p>
          <w:p w:rsidR="000D71C3" w:rsidRPr="00B03621" w:rsidRDefault="000D71C3" w:rsidP="00B03621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2021年晋升主任医师1名，副主任医师1名，主治医师1 名；毕业硕士、博士研究生5名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支持院内外合作研究，全国多中心研究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03621" w:rsidRDefault="000D71C3" w:rsidP="00B03621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36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牵头3项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6532DE">
            <w:pPr>
              <w:jc w:val="center"/>
            </w:pPr>
            <w:r w:rsidRPr="00002746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  <w:p w:rsidR="000D71C3" w:rsidRDefault="000D71C3" w:rsidP="006532DE">
            <w:pPr>
              <w:jc w:val="center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医疗服务收入（不含药品、耗材、检查、化验收入）占公立医院医疗收入的比例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较上年提高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较2020年提高1.7%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9A3E15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发表SCI及核心期刊论文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较上年增加5-10篇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2021年发表52篇，较上年增加5篇（2020年47篇）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9A3E15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收治患者数量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较上年增加5%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2021年收治新发实体肿瘤和</w:t>
            </w:r>
            <w:proofErr w:type="gramStart"/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淋巴瘤共</w:t>
            </w:r>
            <w:proofErr w:type="gramEnd"/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647例，较2020年（444例）增加45%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9A3E15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疑难及危重患者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≥上年值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9A3E15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硕士、博士研究生培养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A096E">
              <w:rPr>
                <w:rFonts w:ascii="宋体" w:hAnsi="宋体" w:cs="宋体" w:hint="eastAsia"/>
                <w:kern w:val="0"/>
                <w:sz w:val="18"/>
                <w:szCs w:val="18"/>
              </w:rPr>
              <w:t>≥3人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牵头/参与多中心临床研究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5A096E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≥1项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0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653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  <w:p w:rsidR="000D71C3" w:rsidRDefault="000D71C3" w:rsidP="006532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病例组合指数（CMI）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≥前三年平均值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较前三年平均值提高</w:t>
            </w:r>
            <w:r w:rsidRPr="00B477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21.5</w:t>
            </w: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9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EF0F6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中文核心期刊论文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达到国内一流水平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发表中文核心期刊17篇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EF0F6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国外期刊论文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达到专业领先水平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B47723" w:rsidRDefault="000D71C3" w:rsidP="00B4772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477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发表SCI论文38篇，单篇影响因子最高44.5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EF0F6A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市级/国家级/省部级科研项目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F123D6" w:rsidRDefault="000D71C3" w:rsidP="004C0568">
            <w:pPr>
              <w:jc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F123D6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1-2项/年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F123D6" w:rsidRDefault="000D71C3" w:rsidP="004C0568">
            <w:pPr>
              <w:jc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F123D6"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EF0F6A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病例组合指数（CMI）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≥前三年平均值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F123D6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原因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①儿童肿瘤完全不同于成人肿瘤，国家对成人及儿童实体肿瘤统一制定CMI值，难以反映儿童肿瘤的特点，难以反映真实难度系数。</w:t>
            </w:r>
          </w:p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②2021年顺义病区的分流病人影响。③疫情影响</w:t>
            </w:r>
          </w:p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改进办法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增加难度系数高的病人的收治。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EF0F6A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专科科技获奖情况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1-2项/年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科技获奖</w:t>
            </w: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4项，专利1项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EF0F6A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职称晋升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F123D6" w:rsidRDefault="000D71C3" w:rsidP="004C0568">
            <w:pPr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1人/年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F123D6" w:rsidRDefault="000D71C3" w:rsidP="004C0568">
            <w:pPr>
              <w:jc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 w:rsidRPr="00F123D6">
              <w:rPr>
                <w:rFonts w:ascii="宋体" w:hAnsi="宋体" w:cs="仿宋_GB2312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4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 w:rsidP="00EF0F6A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教学职称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1人/年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123D6">
              <w:rPr>
                <w:rFonts w:ascii="宋体" w:hAnsi="宋体" w:cs="仿宋_GB2312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E44FC4">
        <w:trPr>
          <w:trHeight w:hRule="exact" w:val="16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74F6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多学科协作诊治儿童肿瘤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开展</w:t>
            </w:r>
            <w:proofErr w:type="gramStart"/>
            <w:r w:rsidRPr="00874F62">
              <w:rPr>
                <w:rFonts w:ascii="宋体" w:hAnsi="宋体" w:cs="宋体" w:hint="eastAsia"/>
                <w:kern w:val="0"/>
                <w:sz w:val="18"/>
                <w:szCs w:val="18"/>
              </w:rPr>
              <w:t>疑难/罕少见</w:t>
            </w:r>
            <w:proofErr w:type="gramEnd"/>
            <w:r w:rsidRPr="00874F62">
              <w:rPr>
                <w:rFonts w:ascii="宋体" w:hAnsi="宋体" w:cs="宋体" w:hint="eastAsia"/>
                <w:kern w:val="0"/>
                <w:sz w:val="18"/>
                <w:szCs w:val="18"/>
              </w:rPr>
              <w:t>肿瘤MDT会诊/讨论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74F62">
              <w:rPr>
                <w:rFonts w:ascii="宋体" w:hAnsi="宋体" w:cs="宋体" w:hint="eastAsia"/>
                <w:kern w:val="0"/>
                <w:sz w:val="18"/>
                <w:szCs w:val="18"/>
              </w:rPr>
              <w:t>头颈肿瘤、肿瘤外科、中枢肿瘤、淋巴瘤等多学科MDT诊疗儿童肿瘤200余例次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9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预算执行进度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按序时进度完成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按序时进度完成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9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预算执行进度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按序时进度完成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已按照年度计划执行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7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  <w:p w:rsidR="000D71C3" w:rsidRDefault="000D71C3" w:rsidP="004C056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财务成本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按预算执行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10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管理成本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按预算执行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0.52万元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D71C3" w:rsidRDefault="000D71C3" w:rsidP="009A251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医疗收入增幅（%）：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≥上年值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较上年提高7.6%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1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9A251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医疗收入增幅（%）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≥上年值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2021年医疗收入增幅大于2020年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10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9A2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收支结余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≥上年值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01CF">
              <w:rPr>
                <w:rFonts w:ascii="宋体" w:hAnsi="宋体" w:cs="宋体" w:hint="eastAsia"/>
                <w:kern w:val="0"/>
                <w:sz w:val="18"/>
                <w:szCs w:val="18"/>
              </w:rPr>
              <w:t>2021年医疗收支结余大于2020年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1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新增新技术、新项目数量（项）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≥1项新技术新项目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1项（组织细胞病专业）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732C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D71C3">
        <w:trPr>
          <w:trHeight w:hRule="exact" w:val="18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儿童血液病主要疾病登记监测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出具监测数据报告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撰写中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已建立信息化登记平台，数据监测报告撰写中，待国家卫生健康委授权后发布。</w:t>
            </w:r>
          </w:p>
        </w:tc>
      </w:tr>
      <w:tr w:rsidR="000D71C3" w:rsidTr="000D71C3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进修医师及学生的专业水平综合素质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821EDB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Pr="003F4266" w:rsidRDefault="000D71C3" w:rsidP="00435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新增新技术、新项目数量（项）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每年至少开展1项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2021年开展新增新技术、新项目3个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指南/专家共识/诊疗建议撰写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≥3个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2021年牵头撰写诊疗规范/指南/专家共识等共11个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参与编写著作/书籍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≥1项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8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主办或承办国际／全国性质学术会议及国家级继续教育学习班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5-7次/年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2021年共举办9次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进修医师及学生的专业水平综合素质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>
            <w:r w:rsidRPr="00400004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儿童肿瘤主要疾病登记监测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出具监测数据报告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撰写中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拟经国家</w:t>
            </w:r>
            <w:proofErr w:type="gramEnd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卫生健康委</w:t>
            </w:r>
            <w:proofErr w:type="gramStart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政</w:t>
            </w:r>
            <w:proofErr w:type="gramStart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管局授权同意后，以国家儿童肿瘤监测中心年报形式公开发布。</w:t>
            </w:r>
          </w:p>
        </w:tc>
      </w:tr>
      <w:tr w:rsidR="000D71C3" w:rsidTr="00234EB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71C3" w:rsidTr="00234EB7">
        <w:trPr>
          <w:trHeight w:hRule="exact" w:val="22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医院接受其他医院（尤其是对口支援医院、</w:t>
            </w:r>
            <w:proofErr w:type="gramStart"/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联体内医院）进修并返回原医院独立工作人数占比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≥前三年平均值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2021年一共接收进修医生586名，大于前三年平均值（为408名），完成指标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牵头开展多中心研究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≧1项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234EB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医院接受其他医院（尤其是对口支援医院、</w:t>
            </w:r>
            <w:proofErr w:type="gramStart"/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联体内医院）进修并返回原医院独立工作人数占比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≥前三年平均值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2021年5名，大于前三年平均值3名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094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地方帮扶、对口支援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每年≥5人次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2021年共20人次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0D71C3" w:rsidRDefault="000D7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0D71C3" w:rsidRDefault="000D7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F356FA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综合满意度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≧90%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0D71C3" w:rsidRDefault="000D7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0D71C3" w:rsidRDefault="000D7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F356FA">
        <w:trPr>
          <w:trHeight w:hRule="exact" w:val="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优质服务达标率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≧90%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916473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受益进修医师及研究生满意度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≧90%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Pr="00A65E33" w:rsidRDefault="000D71C3" w:rsidP="00A65E33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E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916473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综合满意度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0D71C3" w:rsidTr="00F356FA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C3" w:rsidRDefault="000D71C3"/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优质服务达标率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35E4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C3" w:rsidRDefault="000D71C3" w:rsidP="004C0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821EDB" w:rsidTr="00401909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Pr="000D71C3" w:rsidRDefault="00821EDB" w:rsidP="000D71C3">
            <w:pPr>
              <w:jc w:val="center"/>
              <w:rPr>
                <w:color w:val="000000"/>
                <w:sz w:val="18"/>
                <w:szCs w:val="18"/>
              </w:rPr>
            </w:pPr>
            <w:r w:rsidRPr="000D71C3">
              <w:rPr>
                <w:rFonts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Pr="000D71C3" w:rsidRDefault="000D71C3" w:rsidP="000D71C3">
            <w:pPr>
              <w:jc w:val="center"/>
              <w:rPr>
                <w:color w:val="000000"/>
                <w:sz w:val="18"/>
                <w:szCs w:val="18"/>
              </w:rPr>
            </w:pPr>
            <w:r w:rsidRPr="000D71C3">
              <w:rPr>
                <w:color w:val="000000"/>
                <w:sz w:val="18"/>
                <w:szCs w:val="18"/>
              </w:rPr>
              <w:t>93.5</w:t>
            </w:r>
            <w:r w:rsidRPr="000D71C3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DB" w:rsidRDefault="00821EDB" w:rsidP="00821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21EDB" w:rsidRDefault="00821EDB"/>
    <w:sectPr w:rsidR="00821EDB" w:rsidSect="00122211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67E" w:rsidRDefault="0074367E" w:rsidP="00122211">
      <w:r>
        <w:separator/>
      </w:r>
    </w:p>
  </w:endnote>
  <w:endnote w:type="continuationSeparator" w:id="1">
    <w:p w:rsidR="0074367E" w:rsidRDefault="0074367E" w:rsidP="00122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EDB" w:rsidRPr="007719CD" w:rsidRDefault="00766E8D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821EDB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21EDB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821EDB" w:rsidRDefault="00821ED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EDB" w:rsidRPr="007719CD" w:rsidRDefault="00766E8D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821EDB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0D71C3" w:rsidRPr="000D71C3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821EDB" w:rsidRDefault="00821EDB" w:rsidP="00821ED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EDB" w:rsidRDefault="00766E8D">
    <w:pPr>
      <w:pStyle w:val="a3"/>
      <w:jc w:val="center"/>
    </w:pPr>
    <w:r w:rsidRPr="00766E8D">
      <w:fldChar w:fldCharType="begin"/>
    </w:r>
    <w:r w:rsidR="00821EDB">
      <w:instrText>PAGE   \* MERGEFORMAT</w:instrText>
    </w:r>
    <w:r w:rsidRPr="00766E8D">
      <w:fldChar w:fldCharType="separate"/>
    </w:r>
    <w:r w:rsidR="00821EDB">
      <w:rPr>
        <w:lang w:val="zh-CN"/>
      </w:rPr>
      <w:t>1</w:t>
    </w:r>
    <w:r>
      <w:rPr>
        <w:lang w:val="zh-CN"/>
      </w:rPr>
      <w:fldChar w:fldCharType="end"/>
    </w:r>
  </w:p>
  <w:p w:rsidR="00821EDB" w:rsidRDefault="00821ED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67E" w:rsidRDefault="0074367E" w:rsidP="00122211">
      <w:r>
        <w:separator/>
      </w:r>
    </w:p>
  </w:footnote>
  <w:footnote w:type="continuationSeparator" w:id="1">
    <w:p w:rsidR="0074367E" w:rsidRDefault="0074367E" w:rsidP="00122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835EF"/>
    <w:rsid w:val="000D71C3"/>
    <w:rsid w:val="00122211"/>
    <w:rsid w:val="001A4621"/>
    <w:rsid w:val="00206AC6"/>
    <w:rsid w:val="00247BDE"/>
    <w:rsid w:val="00267A92"/>
    <w:rsid w:val="00401909"/>
    <w:rsid w:val="004067C6"/>
    <w:rsid w:val="004D4CA1"/>
    <w:rsid w:val="00516BB4"/>
    <w:rsid w:val="00587F49"/>
    <w:rsid w:val="005F3F0D"/>
    <w:rsid w:val="00600D9F"/>
    <w:rsid w:val="00650D4C"/>
    <w:rsid w:val="006532DE"/>
    <w:rsid w:val="00700B8D"/>
    <w:rsid w:val="007255F7"/>
    <w:rsid w:val="00732C6D"/>
    <w:rsid w:val="0074367E"/>
    <w:rsid w:val="00750C1A"/>
    <w:rsid w:val="00766E8D"/>
    <w:rsid w:val="007B6FD9"/>
    <w:rsid w:val="00821EDB"/>
    <w:rsid w:val="008353A3"/>
    <w:rsid w:val="00875EC2"/>
    <w:rsid w:val="00912D99"/>
    <w:rsid w:val="009A2516"/>
    <w:rsid w:val="00A21C74"/>
    <w:rsid w:val="00A65E33"/>
    <w:rsid w:val="00AC21B9"/>
    <w:rsid w:val="00AF3891"/>
    <w:rsid w:val="00B03621"/>
    <w:rsid w:val="00B355C2"/>
    <w:rsid w:val="00B47723"/>
    <w:rsid w:val="00BF23C5"/>
    <w:rsid w:val="00C24417"/>
    <w:rsid w:val="00CB4DDD"/>
    <w:rsid w:val="00DD1530"/>
    <w:rsid w:val="00E56D1E"/>
    <w:rsid w:val="00E94AC7"/>
    <w:rsid w:val="00F6419A"/>
    <w:rsid w:val="00F652FE"/>
    <w:rsid w:val="00FE06CB"/>
    <w:rsid w:val="00FF4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01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0190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32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32D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67A0A-1C28-4D29-AECA-81AFAD0A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585</Words>
  <Characters>3338</Characters>
  <Application>Microsoft Office Word</Application>
  <DocSecurity>0</DocSecurity>
  <Lines>27</Lines>
  <Paragraphs>7</Paragraphs>
  <ScaleCrop>false</ScaleCrop>
  <Company>Microsoft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sss</cp:lastModifiedBy>
  <cp:revision>21</cp:revision>
  <dcterms:created xsi:type="dcterms:W3CDTF">2022-04-28T02:03:00Z</dcterms:created>
  <dcterms:modified xsi:type="dcterms:W3CDTF">2022-05-05T01:20:00Z</dcterms:modified>
</cp:coreProperties>
</file>